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c"/>
        <w:tblpPr w:leftFromText="180" w:rightFromText="180" w:vertAnchor="page" w:horzAnchor="margin" w:tblpXSpec="center" w:tblpY="691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6804"/>
      </w:tblGrid>
      <w:tr w:rsidR="0013311D" w:rsidRPr="008862B1" w:rsidTr="00136AF9">
        <w:trPr>
          <w:trHeight w:val="2265"/>
        </w:trPr>
        <w:tc>
          <w:tcPr>
            <w:tcW w:w="3936" w:type="dxa"/>
          </w:tcPr>
          <w:p w:rsidR="0013311D" w:rsidRPr="008862B1" w:rsidRDefault="0013311D" w:rsidP="00136AF9">
            <w:pPr>
              <w:spacing w:line="20" w:lineRule="atLeast"/>
              <w:ind w:left="-142" w:firstLine="142"/>
              <w:jc w:val="center"/>
              <w:rPr>
                <w:sz w:val="14"/>
                <w:szCs w:val="16"/>
              </w:rPr>
            </w:pPr>
            <w:bookmarkStart w:id="0" w:name="_GoBack"/>
            <w:bookmarkEnd w:id="0"/>
            <w:r w:rsidRPr="008862B1">
              <w:rPr>
                <w:sz w:val="14"/>
                <w:szCs w:val="16"/>
              </w:rPr>
              <w:br/>
            </w:r>
            <w:r w:rsidRPr="008862B1">
              <w:rPr>
                <w:noProof/>
                <w:sz w:val="16"/>
              </w:rPr>
              <w:drawing>
                <wp:inline distT="0" distB="0" distL="0" distR="0">
                  <wp:extent cx="2341958" cy="1064526"/>
                  <wp:effectExtent l="0" t="0" r="1270" b="2540"/>
                  <wp:docPr id="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1958" cy="10645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</w:tcPr>
          <w:p w:rsidR="0013311D" w:rsidRDefault="0013311D" w:rsidP="0013311D">
            <w:pPr>
              <w:spacing w:line="20" w:lineRule="atLeast"/>
              <w:jc w:val="center"/>
              <w:rPr>
                <w:rFonts w:cs="Lucida Sans Unicode"/>
                <w:b/>
                <w:sz w:val="22"/>
              </w:rPr>
            </w:pPr>
          </w:p>
          <w:p w:rsidR="0013311D" w:rsidRPr="00483152" w:rsidRDefault="0013311D" w:rsidP="0013311D">
            <w:pPr>
              <w:spacing w:line="20" w:lineRule="atLeast"/>
              <w:jc w:val="center"/>
              <w:rPr>
                <w:rFonts w:cs="Lucida Sans Unicode"/>
                <w:b/>
                <w:szCs w:val="27"/>
              </w:rPr>
            </w:pPr>
            <w:r w:rsidRPr="00483152">
              <w:rPr>
                <w:rFonts w:cs="Lucida Sans Unicode"/>
                <w:b/>
                <w:szCs w:val="27"/>
              </w:rPr>
              <w:t>МИНОБРНАУКИ РОССИИ</w:t>
            </w:r>
            <w:r w:rsidRPr="00483152">
              <w:rPr>
                <w:rFonts w:cs="Lucida Sans Unicode"/>
                <w:b/>
                <w:szCs w:val="27"/>
              </w:rPr>
              <w:br/>
              <w:t xml:space="preserve">Федеральное государственное бюджетное образовательное </w:t>
            </w:r>
            <w:r w:rsidRPr="00483152">
              <w:rPr>
                <w:rFonts w:cs="Lucida Sans Unicode"/>
                <w:b/>
                <w:szCs w:val="27"/>
              </w:rPr>
              <w:br/>
              <w:t>учреждение высшего образования</w:t>
            </w:r>
          </w:p>
          <w:p w:rsidR="0013311D" w:rsidRPr="00483152" w:rsidRDefault="0013311D" w:rsidP="0013311D">
            <w:pPr>
              <w:spacing w:line="20" w:lineRule="atLeast"/>
              <w:jc w:val="center"/>
              <w:rPr>
                <w:rFonts w:cs="Lucida Sans Unicode"/>
                <w:b/>
                <w:szCs w:val="27"/>
              </w:rPr>
            </w:pPr>
            <w:r w:rsidRPr="00483152">
              <w:rPr>
                <w:rFonts w:cs="Lucida Sans Unicode"/>
                <w:b/>
                <w:szCs w:val="27"/>
              </w:rPr>
              <w:t xml:space="preserve">«Самарский государственный технический университет» </w:t>
            </w:r>
            <w:r w:rsidRPr="00483152">
              <w:rPr>
                <w:rFonts w:cs="Lucida Sans Unicode"/>
                <w:b/>
                <w:szCs w:val="27"/>
              </w:rPr>
              <w:br/>
              <w:t>(ФГБОУ ВО «</w:t>
            </w:r>
            <w:proofErr w:type="spellStart"/>
            <w:r w:rsidRPr="00483152">
              <w:rPr>
                <w:rFonts w:cs="Lucida Sans Unicode"/>
                <w:b/>
                <w:szCs w:val="27"/>
              </w:rPr>
              <w:t>СамГТУ</w:t>
            </w:r>
            <w:proofErr w:type="spellEnd"/>
            <w:r w:rsidRPr="00483152">
              <w:rPr>
                <w:rFonts w:cs="Lucida Sans Unicode"/>
                <w:b/>
                <w:szCs w:val="27"/>
              </w:rPr>
              <w:t>»)</w:t>
            </w:r>
          </w:p>
          <w:p w:rsidR="00483152" w:rsidRDefault="0013311D" w:rsidP="0013311D">
            <w:pPr>
              <w:spacing w:line="20" w:lineRule="atLeast"/>
              <w:jc w:val="center"/>
              <w:rPr>
                <w:rFonts w:cs="Lucida Sans Unicode"/>
                <w:b/>
                <w:szCs w:val="27"/>
              </w:rPr>
            </w:pPr>
            <w:r w:rsidRPr="00483152">
              <w:rPr>
                <w:rFonts w:cs="Lucida Sans Unicode"/>
                <w:b/>
                <w:szCs w:val="27"/>
              </w:rPr>
              <w:t xml:space="preserve">Кафедра стоимостного инжиниринга и </w:t>
            </w:r>
          </w:p>
          <w:p w:rsidR="0013311D" w:rsidRPr="008862B1" w:rsidRDefault="0013311D" w:rsidP="0079738C">
            <w:pPr>
              <w:spacing w:line="20" w:lineRule="atLeast"/>
              <w:jc w:val="center"/>
              <w:rPr>
                <w:sz w:val="14"/>
                <w:szCs w:val="16"/>
              </w:rPr>
            </w:pPr>
            <w:r w:rsidRPr="00483152">
              <w:rPr>
                <w:rFonts w:cs="Lucida Sans Unicode"/>
                <w:b/>
                <w:szCs w:val="27"/>
              </w:rPr>
              <w:t>технической экспертизы зданий и сооружений (</w:t>
            </w:r>
            <w:proofErr w:type="spellStart"/>
            <w:r w:rsidRPr="00483152">
              <w:rPr>
                <w:rFonts w:cs="Lucida Sans Unicode"/>
                <w:b/>
                <w:szCs w:val="27"/>
              </w:rPr>
              <w:t>СИТЭ</w:t>
            </w:r>
            <w:r w:rsidR="0079738C">
              <w:rPr>
                <w:rFonts w:cs="Lucida Sans Unicode"/>
                <w:b/>
                <w:szCs w:val="27"/>
              </w:rPr>
              <w:t>ЗиС</w:t>
            </w:r>
            <w:proofErr w:type="spellEnd"/>
            <w:r w:rsidRPr="00483152">
              <w:rPr>
                <w:rFonts w:cs="Lucida Sans Unicode"/>
                <w:b/>
                <w:szCs w:val="27"/>
              </w:rPr>
              <w:t>)</w:t>
            </w:r>
          </w:p>
        </w:tc>
      </w:tr>
    </w:tbl>
    <w:p w:rsidR="00483152" w:rsidRPr="00483152" w:rsidRDefault="00483152" w:rsidP="00483152">
      <w:pPr>
        <w:spacing w:before="240"/>
        <w:contextualSpacing/>
        <w:rPr>
          <w:b/>
          <w:i/>
          <w:sz w:val="6"/>
          <w:szCs w:val="30"/>
        </w:rPr>
      </w:pPr>
    </w:p>
    <w:p w:rsidR="00483152" w:rsidRDefault="00483152" w:rsidP="00270D21">
      <w:pPr>
        <w:spacing w:before="240"/>
        <w:ind w:left="-1077"/>
        <w:contextualSpacing/>
        <w:jc w:val="center"/>
        <w:rPr>
          <w:b/>
          <w:i/>
          <w:sz w:val="28"/>
          <w:szCs w:val="30"/>
        </w:rPr>
      </w:pPr>
    </w:p>
    <w:p w:rsidR="00B97796" w:rsidRPr="00CA3FCB" w:rsidRDefault="002E18A6" w:rsidP="00270D21">
      <w:pPr>
        <w:spacing w:before="240"/>
        <w:ind w:left="-1077"/>
        <w:contextualSpacing/>
        <w:jc w:val="center"/>
        <w:rPr>
          <w:b/>
          <w:szCs w:val="30"/>
        </w:rPr>
      </w:pPr>
      <w:r w:rsidRPr="00CA3FCB">
        <w:rPr>
          <w:b/>
          <w:i/>
          <w:szCs w:val="30"/>
        </w:rPr>
        <w:t>П</w:t>
      </w:r>
      <w:r w:rsidR="00B97796" w:rsidRPr="00CA3FCB">
        <w:rPr>
          <w:b/>
          <w:i/>
          <w:szCs w:val="30"/>
        </w:rPr>
        <w:t>рограмм</w:t>
      </w:r>
      <w:r w:rsidRPr="00CA3FCB">
        <w:rPr>
          <w:b/>
          <w:i/>
          <w:szCs w:val="30"/>
        </w:rPr>
        <w:t>а</w:t>
      </w:r>
      <w:r w:rsidR="00B97796" w:rsidRPr="00CA3FCB">
        <w:rPr>
          <w:b/>
          <w:i/>
          <w:szCs w:val="30"/>
        </w:rPr>
        <w:t xml:space="preserve"> профессиональной переподготовки</w:t>
      </w:r>
    </w:p>
    <w:p w:rsidR="00185C7D" w:rsidRPr="00483152" w:rsidRDefault="00B97796" w:rsidP="005573B9">
      <w:pPr>
        <w:spacing w:before="160" w:after="160"/>
        <w:ind w:left="-1077" w:right="-363"/>
        <w:jc w:val="center"/>
        <w:rPr>
          <w:b/>
          <w:spacing w:val="20"/>
          <w:sz w:val="32"/>
          <w:szCs w:val="40"/>
        </w:rPr>
      </w:pPr>
      <w:r w:rsidRPr="00483152">
        <w:rPr>
          <w:b/>
          <w:spacing w:val="20"/>
          <w:sz w:val="32"/>
          <w:szCs w:val="40"/>
        </w:rPr>
        <w:t>«</w:t>
      </w:r>
      <w:r w:rsidR="007E7D91" w:rsidRPr="00483152">
        <w:rPr>
          <w:b/>
          <w:spacing w:val="20"/>
          <w:sz w:val="32"/>
          <w:szCs w:val="40"/>
        </w:rPr>
        <w:t>С</w:t>
      </w:r>
      <w:r w:rsidR="00B80F11" w:rsidRPr="00483152">
        <w:rPr>
          <w:b/>
          <w:spacing w:val="20"/>
          <w:sz w:val="32"/>
          <w:szCs w:val="40"/>
        </w:rPr>
        <w:t xml:space="preserve">УДЕБНАЯ СТРОИТЕЛЬНО-ТЕХНИЧЕСКАЯ </w:t>
      </w:r>
      <w:r w:rsidR="007E7D91" w:rsidRPr="00483152">
        <w:rPr>
          <w:b/>
          <w:spacing w:val="20"/>
          <w:sz w:val="32"/>
          <w:szCs w:val="40"/>
        </w:rPr>
        <w:t>ЭКСПЕРТИЗА</w:t>
      </w:r>
      <w:r w:rsidRPr="00483152">
        <w:rPr>
          <w:b/>
          <w:spacing w:val="20"/>
          <w:sz w:val="32"/>
          <w:szCs w:val="40"/>
        </w:rPr>
        <w:t>»</w:t>
      </w:r>
    </w:p>
    <w:p w:rsidR="00FB01B4" w:rsidRPr="00B26FE1" w:rsidRDefault="00BC49E7" w:rsidP="005573B9">
      <w:pPr>
        <w:spacing w:before="160" w:after="160"/>
        <w:ind w:left="-1077" w:right="-363"/>
        <w:jc w:val="center"/>
        <w:rPr>
          <w:b/>
          <w:spacing w:val="20"/>
          <w:sz w:val="26"/>
          <w:szCs w:val="26"/>
        </w:rPr>
      </w:pPr>
      <w:r>
        <w:rPr>
          <w:b/>
          <w:spacing w:val="20"/>
          <w:sz w:val="26"/>
          <w:szCs w:val="26"/>
        </w:rPr>
        <w:t xml:space="preserve">25 ноября </w:t>
      </w:r>
      <w:r w:rsidR="00FB01B4" w:rsidRPr="00B26FE1">
        <w:rPr>
          <w:b/>
          <w:spacing w:val="20"/>
          <w:sz w:val="26"/>
          <w:szCs w:val="26"/>
        </w:rPr>
        <w:t>201</w:t>
      </w:r>
      <w:r w:rsidR="0079738C" w:rsidRPr="00B26FE1">
        <w:rPr>
          <w:b/>
          <w:spacing w:val="20"/>
          <w:sz w:val="26"/>
          <w:szCs w:val="26"/>
        </w:rPr>
        <w:t>9</w:t>
      </w:r>
      <w:r>
        <w:rPr>
          <w:b/>
          <w:spacing w:val="20"/>
          <w:sz w:val="26"/>
          <w:szCs w:val="26"/>
        </w:rPr>
        <w:t xml:space="preserve"> – 25 мая 2020</w:t>
      </w:r>
      <w:r w:rsidR="00B26FE1" w:rsidRPr="00B26FE1">
        <w:rPr>
          <w:b/>
          <w:spacing w:val="20"/>
          <w:sz w:val="26"/>
          <w:szCs w:val="26"/>
        </w:rPr>
        <w:t>, продолжительность – 6 месяцев</w:t>
      </w:r>
    </w:p>
    <w:p w:rsidR="00C4588E" w:rsidRPr="00483152" w:rsidRDefault="00C4588E" w:rsidP="00C4588E">
      <w:pPr>
        <w:spacing w:before="60" w:after="120" w:line="0" w:lineRule="atLeast"/>
        <w:ind w:left="-1134"/>
        <w:jc w:val="both"/>
        <w:rPr>
          <w:sz w:val="22"/>
        </w:rPr>
      </w:pPr>
      <w:r w:rsidRPr="00483152">
        <w:rPr>
          <w:b/>
          <w:sz w:val="22"/>
        </w:rPr>
        <w:t>Программа переподготовки включает</w:t>
      </w:r>
      <w:r w:rsidR="00ED1563" w:rsidRPr="00483152">
        <w:rPr>
          <w:b/>
          <w:sz w:val="22"/>
        </w:rPr>
        <w:t xml:space="preserve"> полный комплекс </w:t>
      </w:r>
      <w:r w:rsidR="00402B33" w:rsidRPr="00483152">
        <w:rPr>
          <w:b/>
          <w:sz w:val="22"/>
        </w:rPr>
        <w:t>знаний, необходимых</w:t>
      </w:r>
      <w:r w:rsidR="00ED1563" w:rsidRPr="00483152">
        <w:rPr>
          <w:b/>
          <w:sz w:val="22"/>
        </w:rPr>
        <w:t xml:space="preserve"> </w:t>
      </w:r>
      <w:r w:rsidR="0035170C" w:rsidRPr="00483152">
        <w:rPr>
          <w:b/>
          <w:sz w:val="22"/>
        </w:rPr>
        <w:t xml:space="preserve">негосударственному </w:t>
      </w:r>
      <w:r w:rsidR="00ED1563" w:rsidRPr="00483152">
        <w:rPr>
          <w:b/>
          <w:sz w:val="22"/>
        </w:rPr>
        <w:t>судебно</w:t>
      </w:r>
      <w:r w:rsidR="00402B33" w:rsidRPr="00483152">
        <w:rPr>
          <w:b/>
          <w:sz w:val="22"/>
        </w:rPr>
        <w:t xml:space="preserve">му </w:t>
      </w:r>
      <w:r w:rsidR="002E18A6" w:rsidRPr="00483152">
        <w:rPr>
          <w:b/>
          <w:sz w:val="22"/>
        </w:rPr>
        <w:t xml:space="preserve">строительному </w:t>
      </w:r>
      <w:r w:rsidR="00ED1563" w:rsidRPr="00483152">
        <w:rPr>
          <w:b/>
          <w:sz w:val="22"/>
        </w:rPr>
        <w:t>эксперт</w:t>
      </w:r>
      <w:r w:rsidR="00402B33" w:rsidRPr="00483152">
        <w:rPr>
          <w:b/>
          <w:sz w:val="22"/>
        </w:rPr>
        <w:t>у</w:t>
      </w:r>
      <w:r w:rsidRPr="00483152">
        <w:rPr>
          <w:b/>
          <w:sz w:val="18"/>
        </w:rPr>
        <w:t xml:space="preserve">:   </w:t>
      </w:r>
    </w:p>
    <w:p w:rsidR="00C4588E" w:rsidRPr="00483152" w:rsidRDefault="00C4588E" w:rsidP="00C4588E">
      <w:pPr>
        <w:pStyle w:val="a4"/>
        <w:numPr>
          <w:ilvl w:val="0"/>
          <w:numId w:val="2"/>
        </w:numPr>
        <w:spacing w:before="60" w:line="0" w:lineRule="atLeast"/>
        <w:jc w:val="both"/>
        <w:rPr>
          <w:sz w:val="22"/>
          <w:szCs w:val="22"/>
        </w:rPr>
      </w:pPr>
      <w:r w:rsidRPr="00483152">
        <w:rPr>
          <w:sz w:val="22"/>
          <w:szCs w:val="22"/>
        </w:rPr>
        <w:t xml:space="preserve">правовые </w:t>
      </w:r>
      <w:r w:rsidR="00ED1563" w:rsidRPr="00483152">
        <w:rPr>
          <w:sz w:val="22"/>
          <w:szCs w:val="22"/>
        </w:rPr>
        <w:t xml:space="preserve">и процессуальные </w:t>
      </w:r>
      <w:r w:rsidRPr="00483152">
        <w:rPr>
          <w:sz w:val="22"/>
          <w:szCs w:val="22"/>
        </w:rPr>
        <w:t xml:space="preserve">основы </w:t>
      </w:r>
      <w:r w:rsidR="002E18A6" w:rsidRPr="00483152">
        <w:rPr>
          <w:sz w:val="22"/>
          <w:szCs w:val="22"/>
        </w:rPr>
        <w:t>судебной строительно-технической экспертизы</w:t>
      </w:r>
      <w:r w:rsidRPr="00483152">
        <w:rPr>
          <w:sz w:val="22"/>
          <w:szCs w:val="22"/>
        </w:rPr>
        <w:t>;</w:t>
      </w:r>
    </w:p>
    <w:p w:rsidR="00C4588E" w:rsidRPr="00483152" w:rsidRDefault="00C4588E" w:rsidP="00C4588E">
      <w:pPr>
        <w:pStyle w:val="a4"/>
        <w:numPr>
          <w:ilvl w:val="0"/>
          <w:numId w:val="2"/>
        </w:numPr>
        <w:spacing w:before="60" w:line="0" w:lineRule="atLeast"/>
        <w:jc w:val="both"/>
        <w:rPr>
          <w:sz w:val="22"/>
          <w:szCs w:val="22"/>
        </w:rPr>
      </w:pPr>
      <w:r w:rsidRPr="00483152">
        <w:rPr>
          <w:sz w:val="22"/>
          <w:szCs w:val="22"/>
        </w:rPr>
        <w:t>экспертные исследования строительных конструкций и объектов;</w:t>
      </w:r>
    </w:p>
    <w:p w:rsidR="00C4588E" w:rsidRPr="00483152" w:rsidRDefault="00C4588E" w:rsidP="00C4588E">
      <w:pPr>
        <w:pStyle w:val="a4"/>
        <w:numPr>
          <w:ilvl w:val="0"/>
          <w:numId w:val="2"/>
        </w:numPr>
        <w:spacing w:before="60" w:line="0" w:lineRule="atLeast"/>
        <w:jc w:val="both"/>
        <w:rPr>
          <w:sz w:val="22"/>
          <w:szCs w:val="22"/>
        </w:rPr>
      </w:pPr>
      <w:r w:rsidRPr="00483152">
        <w:rPr>
          <w:sz w:val="22"/>
          <w:szCs w:val="22"/>
        </w:rPr>
        <w:t>определение стоимости строительных объектов и территорий;</w:t>
      </w:r>
    </w:p>
    <w:p w:rsidR="00ED1563" w:rsidRPr="00483152" w:rsidRDefault="00ED1563" w:rsidP="00C4588E">
      <w:pPr>
        <w:pStyle w:val="a4"/>
        <w:numPr>
          <w:ilvl w:val="0"/>
          <w:numId w:val="2"/>
        </w:numPr>
        <w:spacing w:before="60" w:line="0" w:lineRule="atLeast"/>
        <w:jc w:val="both"/>
        <w:rPr>
          <w:sz w:val="22"/>
          <w:szCs w:val="22"/>
        </w:rPr>
      </w:pPr>
      <w:r w:rsidRPr="00483152">
        <w:rPr>
          <w:sz w:val="22"/>
          <w:szCs w:val="22"/>
        </w:rPr>
        <w:t>экспертиза проектной документации;</w:t>
      </w:r>
    </w:p>
    <w:p w:rsidR="002E18A6" w:rsidRPr="00483152" w:rsidRDefault="00ED1563" w:rsidP="002E18A6">
      <w:pPr>
        <w:pStyle w:val="a4"/>
        <w:numPr>
          <w:ilvl w:val="0"/>
          <w:numId w:val="2"/>
        </w:numPr>
        <w:spacing w:before="60" w:line="0" w:lineRule="atLeast"/>
        <w:jc w:val="both"/>
        <w:rPr>
          <w:sz w:val="22"/>
          <w:szCs w:val="22"/>
        </w:rPr>
      </w:pPr>
      <w:r w:rsidRPr="00483152">
        <w:rPr>
          <w:sz w:val="22"/>
          <w:szCs w:val="22"/>
        </w:rPr>
        <w:t>экспертиза объема, качества и стоимости выполненных работ;</w:t>
      </w:r>
    </w:p>
    <w:p w:rsidR="002E18A6" w:rsidRPr="00483152" w:rsidRDefault="002E18A6" w:rsidP="002E18A6">
      <w:pPr>
        <w:pStyle w:val="a4"/>
        <w:numPr>
          <w:ilvl w:val="0"/>
          <w:numId w:val="2"/>
        </w:numPr>
        <w:spacing w:before="60" w:line="0" w:lineRule="atLeast"/>
        <w:jc w:val="both"/>
        <w:rPr>
          <w:sz w:val="22"/>
          <w:szCs w:val="22"/>
        </w:rPr>
      </w:pPr>
      <w:r w:rsidRPr="00483152">
        <w:rPr>
          <w:sz w:val="22"/>
          <w:szCs w:val="22"/>
        </w:rPr>
        <w:t>экспертные исследования при расследовании несчастных случаев и аварий;</w:t>
      </w:r>
    </w:p>
    <w:p w:rsidR="00ED1563" w:rsidRPr="00483152" w:rsidRDefault="002E18A6" w:rsidP="002E18A6">
      <w:pPr>
        <w:pStyle w:val="a4"/>
        <w:numPr>
          <w:ilvl w:val="0"/>
          <w:numId w:val="2"/>
        </w:numPr>
        <w:spacing w:before="60" w:line="0" w:lineRule="atLeast"/>
        <w:jc w:val="both"/>
        <w:rPr>
          <w:sz w:val="22"/>
          <w:szCs w:val="22"/>
        </w:rPr>
      </w:pPr>
      <w:r w:rsidRPr="00483152">
        <w:rPr>
          <w:sz w:val="22"/>
          <w:szCs w:val="22"/>
        </w:rPr>
        <w:t>экспертные исследования в судебных спорах о праве собственности на недвижимость;</w:t>
      </w:r>
    </w:p>
    <w:p w:rsidR="00BB3E62" w:rsidRPr="00483152" w:rsidRDefault="00C4588E" w:rsidP="0013311D">
      <w:pPr>
        <w:pStyle w:val="a4"/>
        <w:numPr>
          <w:ilvl w:val="0"/>
          <w:numId w:val="2"/>
        </w:numPr>
        <w:spacing w:before="60" w:line="0" w:lineRule="atLeast"/>
        <w:jc w:val="both"/>
        <w:rPr>
          <w:sz w:val="22"/>
          <w:szCs w:val="22"/>
        </w:rPr>
      </w:pPr>
      <w:r w:rsidRPr="00483152">
        <w:rPr>
          <w:sz w:val="22"/>
          <w:szCs w:val="22"/>
        </w:rPr>
        <w:t xml:space="preserve">практические вопросы </w:t>
      </w:r>
      <w:r w:rsidR="00CA7F8D" w:rsidRPr="00483152">
        <w:rPr>
          <w:sz w:val="22"/>
          <w:szCs w:val="22"/>
        </w:rPr>
        <w:t xml:space="preserve">деятельности </w:t>
      </w:r>
      <w:r w:rsidR="0035170C" w:rsidRPr="00483152">
        <w:rPr>
          <w:sz w:val="22"/>
          <w:szCs w:val="22"/>
        </w:rPr>
        <w:t xml:space="preserve">и ошибки </w:t>
      </w:r>
      <w:r w:rsidR="00CA7F8D" w:rsidRPr="00483152">
        <w:rPr>
          <w:sz w:val="22"/>
          <w:szCs w:val="22"/>
        </w:rPr>
        <w:t>судебного эксперта</w:t>
      </w:r>
    </w:p>
    <w:p w:rsidR="000E5882" w:rsidRPr="00483152" w:rsidRDefault="00672CAC" w:rsidP="0013311D">
      <w:pPr>
        <w:spacing w:before="120" w:after="120" w:line="0" w:lineRule="atLeast"/>
        <w:ind w:left="-1134"/>
        <w:jc w:val="both"/>
        <w:rPr>
          <w:sz w:val="22"/>
          <w:szCs w:val="22"/>
        </w:rPr>
      </w:pPr>
      <w:r w:rsidRPr="00483152">
        <w:rPr>
          <w:b/>
          <w:sz w:val="22"/>
          <w:szCs w:val="22"/>
        </w:rPr>
        <w:t>Программа профессиональной переподготовки по</w:t>
      </w:r>
      <w:r w:rsidRPr="00483152">
        <w:rPr>
          <w:sz w:val="22"/>
          <w:szCs w:val="22"/>
        </w:rPr>
        <w:t xml:space="preserve"> </w:t>
      </w:r>
      <w:r w:rsidR="00602971" w:rsidRPr="00483152">
        <w:rPr>
          <w:b/>
          <w:sz w:val="22"/>
          <w:szCs w:val="22"/>
        </w:rPr>
        <w:t xml:space="preserve">судебной </w:t>
      </w:r>
      <w:r w:rsidRPr="00483152">
        <w:rPr>
          <w:b/>
          <w:sz w:val="22"/>
          <w:szCs w:val="22"/>
        </w:rPr>
        <w:t>экспертной специальности 16.1 «Исследование строительных объектов и территории, функционально связанной с ними, в том числе с целью проведения их оценки»</w:t>
      </w:r>
      <w:r w:rsidR="00760B36" w:rsidRPr="00483152">
        <w:rPr>
          <w:b/>
          <w:sz w:val="22"/>
          <w:szCs w:val="22"/>
        </w:rPr>
        <w:t xml:space="preserve"> </w:t>
      </w:r>
      <w:r w:rsidR="00760B36" w:rsidRPr="00483152">
        <w:rPr>
          <w:sz w:val="22"/>
          <w:szCs w:val="22"/>
        </w:rPr>
        <w:t xml:space="preserve">разработана </w:t>
      </w:r>
      <w:r w:rsidR="00760B36" w:rsidRPr="00136AF9">
        <w:rPr>
          <w:sz w:val="22"/>
          <w:szCs w:val="22"/>
          <w:u w:val="single"/>
        </w:rPr>
        <w:t>в соответствии</w:t>
      </w:r>
      <w:r w:rsidR="00760B36" w:rsidRPr="00483152">
        <w:rPr>
          <w:sz w:val="22"/>
          <w:szCs w:val="22"/>
        </w:rPr>
        <w:t xml:space="preserve"> с </w:t>
      </w:r>
      <w:r w:rsidR="00760B36" w:rsidRPr="00483152">
        <w:rPr>
          <w:i/>
          <w:sz w:val="22"/>
          <w:szCs w:val="22"/>
        </w:rPr>
        <w:t xml:space="preserve">Приказом Минюста России </w:t>
      </w:r>
      <w:r w:rsidR="00823F33" w:rsidRPr="00483152">
        <w:rPr>
          <w:i/>
          <w:sz w:val="22"/>
          <w:szCs w:val="22"/>
        </w:rPr>
        <w:br/>
      </w:r>
      <w:r w:rsidR="00760B36" w:rsidRPr="00483152">
        <w:rPr>
          <w:i/>
          <w:sz w:val="22"/>
          <w:szCs w:val="22"/>
        </w:rPr>
        <w:t>от 13.10.2004 № 167</w:t>
      </w:r>
      <w:r w:rsidR="00760B36" w:rsidRPr="00483152">
        <w:rPr>
          <w:sz w:val="22"/>
          <w:szCs w:val="22"/>
        </w:rPr>
        <w:t xml:space="preserve"> с учетом актуальных требований нормативно-правовых и методических документов, регулирующих профессиональную и образовательную деятельность</w:t>
      </w:r>
    </w:p>
    <w:p w:rsidR="000E5882" w:rsidRPr="00483152" w:rsidRDefault="00202351" w:rsidP="0013311D">
      <w:pPr>
        <w:spacing w:after="120"/>
        <w:ind w:left="-1134"/>
        <w:jc w:val="both"/>
        <w:rPr>
          <w:sz w:val="22"/>
          <w:szCs w:val="22"/>
        </w:rPr>
      </w:pPr>
      <w:r w:rsidRPr="00483152">
        <w:rPr>
          <w:b/>
          <w:sz w:val="22"/>
          <w:szCs w:val="22"/>
        </w:rPr>
        <w:t xml:space="preserve">Цель: </w:t>
      </w:r>
      <w:r w:rsidRPr="00483152">
        <w:rPr>
          <w:sz w:val="22"/>
          <w:szCs w:val="22"/>
        </w:rPr>
        <w:t>подготовка квалифицированных специалистов, обладающих необходимыми профессиональными компетенциями для самостоятельного выполнения строительно-технических экспертиз в судебном производстве</w:t>
      </w:r>
    </w:p>
    <w:p w:rsidR="000E5882" w:rsidRPr="00483152" w:rsidRDefault="00ED1563" w:rsidP="0013311D">
      <w:pPr>
        <w:spacing w:before="60" w:after="60"/>
        <w:ind w:left="-1134"/>
        <w:jc w:val="both"/>
        <w:rPr>
          <w:sz w:val="22"/>
          <w:szCs w:val="22"/>
        </w:rPr>
      </w:pPr>
      <w:r w:rsidRPr="00483152">
        <w:rPr>
          <w:b/>
          <w:sz w:val="22"/>
          <w:szCs w:val="22"/>
        </w:rPr>
        <w:t xml:space="preserve">Программа предназначена для: </w:t>
      </w:r>
      <w:r w:rsidRPr="00483152">
        <w:rPr>
          <w:sz w:val="22"/>
          <w:szCs w:val="22"/>
        </w:rPr>
        <w:t>слушателей, желающих получить новую квалификацию, приобрести новые компетенции и работать в данной профессиональной области, и слушателей, желающих расширить, обновить или подтвердить свои профессиональные знания</w:t>
      </w:r>
    </w:p>
    <w:p w:rsidR="00BB3E62" w:rsidRPr="00483152" w:rsidRDefault="00683D58" w:rsidP="0013311D">
      <w:pPr>
        <w:spacing w:before="60" w:after="60"/>
        <w:ind w:left="-1134"/>
        <w:jc w:val="both"/>
        <w:rPr>
          <w:sz w:val="22"/>
          <w:szCs w:val="22"/>
        </w:rPr>
      </w:pPr>
      <w:r w:rsidRPr="00483152">
        <w:rPr>
          <w:b/>
          <w:sz w:val="22"/>
          <w:szCs w:val="22"/>
        </w:rPr>
        <w:t xml:space="preserve">Категории слушателей: </w:t>
      </w:r>
      <w:r w:rsidRPr="00483152">
        <w:rPr>
          <w:sz w:val="22"/>
          <w:szCs w:val="22"/>
        </w:rPr>
        <w:t>имеющие и/или получающие высшее образование</w:t>
      </w:r>
    </w:p>
    <w:p w:rsidR="000E5882" w:rsidRPr="006C345C" w:rsidRDefault="00C4411B" w:rsidP="0013311D">
      <w:pPr>
        <w:spacing w:before="60" w:after="60"/>
        <w:ind w:left="-1134"/>
        <w:jc w:val="both"/>
        <w:rPr>
          <w:i/>
          <w:sz w:val="22"/>
          <w:szCs w:val="22"/>
        </w:rPr>
      </w:pPr>
      <w:r w:rsidRPr="00483152">
        <w:rPr>
          <w:b/>
          <w:sz w:val="22"/>
          <w:szCs w:val="22"/>
        </w:rPr>
        <w:t xml:space="preserve">Форма обучения – </w:t>
      </w:r>
      <w:r w:rsidR="009E2AAF" w:rsidRPr="00483152">
        <w:rPr>
          <w:b/>
          <w:sz w:val="22"/>
          <w:szCs w:val="22"/>
        </w:rPr>
        <w:t>очн</w:t>
      </w:r>
      <w:r w:rsidR="001E1984" w:rsidRPr="00483152">
        <w:rPr>
          <w:b/>
          <w:sz w:val="22"/>
          <w:szCs w:val="22"/>
        </w:rPr>
        <w:t>о-заочная (вечерняя)</w:t>
      </w:r>
      <w:r w:rsidR="003C5870" w:rsidRPr="00483152">
        <w:rPr>
          <w:b/>
          <w:sz w:val="22"/>
          <w:szCs w:val="22"/>
        </w:rPr>
        <w:t xml:space="preserve"> </w:t>
      </w:r>
      <w:r w:rsidR="003C5870" w:rsidRPr="00483152">
        <w:rPr>
          <w:sz w:val="22"/>
          <w:szCs w:val="22"/>
        </w:rPr>
        <w:t xml:space="preserve">с применением </w:t>
      </w:r>
      <w:r w:rsidR="00960D5A" w:rsidRPr="00483152">
        <w:rPr>
          <w:sz w:val="22"/>
          <w:szCs w:val="22"/>
        </w:rPr>
        <w:t>дистанционных образовательных</w:t>
      </w:r>
      <w:r w:rsidR="000E5882" w:rsidRPr="00483152">
        <w:rPr>
          <w:sz w:val="22"/>
          <w:szCs w:val="22"/>
        </w:rPr>
        <w:t xml:space="preserve"> </w:t>
      </w:r>
      <w:r w:rsidR="00960D5A" w:rsidRPr="00483152">
        <w:rPr>
          <w:sz w:val="22"/>
          <w:szCs w:val="22"/>
        </w:rPr>
        <w:t>технологий и электронного обучения</w:t>
      </w:r>
      <w:r w:rsidR="006C345C">
        <w:rPr>
          <w:sz w:val="22"/>
          <w:szCs w:val="22"/>
        </w:rPr>
        <w:t xml:space="preserve"> </w:t>
      </w:r>
      <w:r w:rsidR="006C345C" w:rsidRPr="006C345C">
        <w:rPr>
          <w:i/>
          <w:sz w:val="22"/>
          <w:szCs w:val="22"/>
        </w:rPr>
        <w:t xml:space="preserve">(возможно посещение занятий </w:t>
      </w:r>
      <w:proofErr w:type="spellStart"/>
      <w:r w:rsidR="006C345C" w:rsidRPr="006C345C">
        <w:rPr>
          <w:i/>
          <w:sz w:val="22"/>
          <w:szCs w:val="22"/>
        </w:rPr>
        <w:t>аудиторно</w:t>
      </w:r>
      <w:proofErr w:type="spellEnd"/>
      <w:r w:rsidR="006C345C" w:rsidRPr="006C345C">
        <w:rPr>
          <w:i/>
          <w:sz w:val="22"/>
          <w:szCs w:val="22"/>
        </w:rPr>
        <w:t xml:space="preserve"> или в формате </w:t>
      </w:r>
      <w:proofErr w:type="spellStart"/>
      <w:r w:rsidR="006C345C" w:rsidRPr="006C345C">
        <w:rPr>
          <w:i/>
          <w:sz w:val="22"/>
          <w:szCs w:val="22"/>
        </w:rPr>
        <w:t>вебинаров</w:t>
      </w:r>
      <w:proofErr w:type="spellEnd"/>
      <w:r w:rsidR="006C345C" w:rsidRPr="006C345C">
        <w:rPr>
          <w:i/>
          <w:sz w:val="22"/>
          <w:szCs w:val="22"/>
        </w:rPr>
        <w:t>)</w:t>
      </w:r>
    </w:p>
    <w:p w:rsidR="00BB3E62" w:rsidRPr="00483152" w:rsidRDefault="008F4A22" w:rsidP="0013311D">
      <w:pPr>
        <w:spacing w:before="60" w:after="60"/>
        <w:ind w:left="-1134"/>
        <w:rPr>
          <w:i/>
          <w:sz w:val="20"/>
          <w:szCs w:val="22"/>
        </w:rPr>
      </w:pPr>
      <w:r w:rsidRPr="00483152">
        <w:rPr>
          <w:b/>
          <w:sz w:val="20"/>
        </w:rPr>
        <w:t>Объем программ</w:t>
      </w:r>
      <w:r w:rsidR="00DE0B64" w:rsidRPr="00483152">
        <w:rPr>
          <w:b/>
          <w:sz w:val="20"/>
        </w:rPr>
        <w:t>ы</w:t>
      </w:r>
      <w:r w:rsidR="007848FE" w:rsidRPr="00483152">
        <w:rPr>
          <w:b/>
          <w:sz w:val="18"/>
        </w:rPr>
        <w:t xml:space="preserve"> </w:t>
      </w:r>
      <w:r w:rsidR="00DE0B64" w:rsidRPr="00483152">
        <w:rPr>
          <w:b/>
          <w:sz w:val="18"/>
          <w:szCs w:val="22"/>
        </w:rPr>
        <w:t>–</w:t>
      </w:r>
      <w:r w:rsidR="00BB3E62" w:rsidRPr="00483152">
        <w:rPr>
          <w:b/>
          <w:sz w:val="18"/>
          <w:szCs w:val="22"/>
        </w:rPr>
        <w:t xml:space="preserve">  </w:t>
      </w:r>
      <w:r w:rsidR="002944B2" w:rsidRPr="00483152">
        <w:rPr>
          <w:b/>
          <w:sz w:val="22"/>
          <w:szCs w:val="22"/>
        </w:rPr>
        <w:t xml:space="preserve">648 </w:t>
      </w:r>
      <w:r w:rsidR="007848FE" w:rsidRPr="00483152">
        <w:rPr>
          <w:b/>
          <w:szCs w:val="22"/>
        </w:rPr>
        <w:t xml:space="preserve"> </w:t>
      </w:r>
      <w:r w:rsidR="007848FE" w:rsidRPr="00483152">
        <w:rPr>
          <w:b/>
          <w:sz w:val="20"/>
          <w:szCs w:val="22"/>
        </w:rPr>
        <w:t>учебных часов</w:t>
      </w:r>
      <w:r w:rsidR="00A76945" w:rsidRPr="00483152">
        <w:rPr>
          <w:b/>
          <w:sz w:val="20"/>
          <w:szCs w:val="22"/>
        </w:rPr>
        <w:t xml:space="preserve"> </w:t>
      </w:r>
    </w:p>
    <w:p w:rsidR="000E5882" w:rsidRPr="00483152" w:rsidRDefault="007848FE" w:rsidP="0013311D">
      <w:pPr>
        <w:spacing w:after="60"/>
        <w:ind w:left="-1134"/>
        <w:rPr>
          <w:sz w:val="20"/>
          <w:szCs w:val="22"/>
        </w:rPr>
      </w:pPr>
      <w:r w:rsidRPr="00483152">
        <w:rPr>
          <w:b/>
          <w:sz w:val="20"/>
          <w:szCs w:val="22"/>
        </w:rPr>
        <w:t xml:space="preserve">Стоимость обучения  – </w:t>
      </w:r>
      <w:r w:rsidR="00DE0B64" w:rsidRPr="00483152">
        <w:rPr>
          <w:b/>
          <w:sz w:val="22"/>
          <w:szCs w:val="22"/>
        </w:rPr>
        <w:t xml:space="preserve">60 000 руб. </w:t>
      </w:r>
    </w:p>
    <w:p w:rsidR="00CB67DC" w:rsidRPr="00483152" w:rsidRDefault="004974FA" w:rsidP="00E74A76">
      <w:pPr>
        <w:tabs>
          <w:tab w:val="left" w:pos="3120"/>
        </w:tabs>
        <w:spacing w:after="60"/>
        <w:ind w:left="-1134"/>
        <w:jc w:val="both"/>
        <w:rPr>
          <w:sz w:val="22"/>
          <w:szCs w:val="22"/>
        </w:rPr>
      </w:pPr>
      <w:r w:rsidRPr="00483152">
        <w:rPr>
          <w:b/>
          <w:sz w:val="22"/>
          <w:szCs w:val="22"/>
        </w:rPr>
        <w:t xml:space="preserve">Скидки </w:t>
      </w:r>
      <w:r w:rsidRPr="00483152">
        <w:rPr>
          <w:sz w:val="22"/>
          <w:szCs w:val="22"/>
        </w:rPr>
        <w:t>на обучение предоставляются</w:t>
      </w:r>
      <w:r w:rsidR="00CB67DC" w:rsidRPr="00483152">
        <w:rPr>
          <w:sz w:val="22"/>
          <w:szCs w:val="22"/>
        </w:rPr>
        <w:t>:</w:t>
      </w:r>
    </w:p>
    <w:p w:rsidR="00BB3E62" w:rsidRPr="00483152" w:rsidRDefault="00BB3E62" w:rsidP="00BB3E62">
      <w:pPr>
        <w:pStyle w:val="a4"/>
        <w:numPr>
          <w:ilvl w:val="0"/>
          <w:numId w:val="2"/>
        </w:numPr>
        <w:spacing w:before="60" w:line="0" w:lineRule="atLeast"/>
        <w:jc w:val="both"/>
        <w:rPr>
          <w:sz w:val="22"/>
          <w:szCs w:val="22"/>
        </w:rPr>
      </w:pPr>
      <w:r w:rsidRPr="00483152">
        <w:rPr>
          <w:sz w:val="22"/>
          <w:szCs w:val="22"/>
        </w:rPr>
        <w:t xml:space="preserve">слушателям, одновременно обучающимся по  программе профессиональной переподготовки «Судебная экономическая экспертиза» в </w:t>
      </w:r>
      <w:proofErr w:type="spellStart"/>
      <w:r w:rsidRPr="00483152">
        <w:rPr>
          <w:sz w:val="22"/>
          <w:szCs w:val="22"/>
        </w:rPr>
        <w:t>СамГТУ</w:t>
      </w:r>
      <w:proofErr w:type="spellEnd"/>
      <w:r w:rsidRPr="00483152">
        <w:rPr>
          <w:sz w:val="22"/>
          <w:szCs w:val="22"/>
        </w:rPr>
        <w:t xml:space="preserve"> – </w:t>
      </w:r>
      <w:r w:rsidRPr="00483152">
        <w:rPr>
          <w:b/>
          <w:sz w:val="22"/>
          <w:szCs w:val="22"/>
        </w:rPr>
        <w:t>20 000</w:t>
      </w:r>
      <w:r w:rsidRPr="00483152">
        <w:rPr>
          <w:sz w:val="22"/>
          <w:szCs w:val="22"/>
        </w:rPr>
        <w:t xml:space="preserve"> руб.</w:t>
      </w:r>
      <w:r w:rsidR="0085365B">
        <w:rPr>
          <w:sz w:val="22"/>
          <w:szCs w:val="22"/>
        </w:rPr>
        <w:t xml:space="preserve"> </w:t>
      </w:r>
      <w:r w:rsidR="0085365B" w:rsidRPr="002E5024">
        <w:rPr>
          <w:i/>
          <w:sz w:val="22"/>
          <w:szCs w:val="22"/>
        </w:rPr>
        <w:t>(по каждой программе)</w:t>
      </w:r>
      <w:r w:rsidRPr="00483152">
        <w:rPr>
          <w:sz w:val="22"/>
          <w:szCs w:val="22"/>
        </w:rPr>
        <w:t>;</w:t>
      </w:r>
    </w:p>
    <w:p w:rsidR="00BB3E62" w:rsidRPr="00483152" w:rsidRDefault="00BB3E62" w:rsidP="00BB3E62">
      <w:pPr>
        <w:pStyle w:val="a4"/>
        <w:numPr>
          <w:ilvl w:val="0"/>
          <w:numId w:val="2"/>
        </w:numPr>
        <w:spacing w:before="60" w:line="0" w:lineRule="atLeast"/>
        <w:jc w:val="both"/>
        <w:rPr>
          <w:sz w:val="22"/>
          <w:szCs w:val="22"/>
        </w:rPr>
      </w:pPr>
      <w:r w:rsidRPr="00483152">
        <w:rPr>
          <w:sz w:val="22"/>
          <w:szCs w:val="22"/>
        </w:rPr>
        <w:t xml:space="preserve">выпускникам и студентам </w:t>
      </w:r>
      <w:proofErr w:type="spellStart"/>
      <w:r w:rsidRPr="00483152">
        <w:rPr>
          <w:sz w:val="22"/>
          <w:szCs w:val="22"/>
        </w:rPr>
        <w:t>СамГТУ</w:t>
      </w:r>
      <w:proofErr w:type="spellEnd"/>
      <w:r w:rsidRPr="00483152">
        <w:rPr>
          <w:sz w:val="22"/>
          <w:szCs w:val="22"/>
        </w:rPr>
        <w:t xml:space="preserve">, СГАСУ – </w:t>
      </w:r>
      <w:r w:rsidRPr="00483152">
        <w:rPr>
          <w:b/>
          <w:sz w:val="22"/>
          <w:szCs w:val="22"/>
        </w:rPr>
        <w:t>10%</w:t>
      </w:r>
      <w:r w:rsidRPr="00483152">
        <w:rPr>
          <w:sz w:val="22"/>
          <w:szCs w:val="22"/>
        </w:rPr>
        <w:t>;</w:t>
      </w:r>
    </w:p>
    <w:p w:rsidR="00FB01B4" w:rsidRPr="00483152" w:rsidRDefault="00BB3E62" w:rsidP="0013311D">
      <w:pPr>
        <w:pStyle w:val="a4"/>
        <w:numPr>
          <w:ilvl w:val="0"/>
          <w:numId w:val="2"/>
        </w:numPr>
        <w:spacing w:before="60" w:line="0" w:lineRule="atLeast"/>
        <w:jc w:val="both"/>
        <w:rPr>
          <w:sz w:val="22"/>
          <w:szCs w:val="22"/>
        </w:rPr>
      </w:pPr>
      <w:proofErr w:type="gramStart"/>
      <w:r w:rsidRPr="00483152">
        <w:rPr>
          <w:sz w:val="22"/>
          <w:szCs w:val="22"/>
        </w:rPr>
        <w:t xml:space="preserve">обучающимся по коллективным заявкам от организаций (от 3 человек) – </w:t>
      </w:r>
      <w:r w:rsidRPr="00483152">
        <w:rPr>
          <w:b/>
          <w:sz w:val="22"/>
          <w:szCs w:val="22"/>
        </w:rPr>
        <w:t>10 %</w:t>
      </w:r>
      <w:proofErr w:type="gramEnd"/>
    </w:p>
    <w:p w:rsidR="003A1F19" w:rsidRPr="00483152" w:rsidRDefault="00905D85" w:rsidP="00A76945">
      <w:pPr>
        <w:spacing w:before="60" w:after="60" w:line="0" w:lineRule="atLeast"/>
        <w:ind w:left="-1134"/>
        <w:rPr>
          <w:b/>
          <w:sz w:val="21"/>
          <w:szCs w:val="21"/>
        </w:rPr>
      </w:pPr>
      <w:r w:rsidRPr="00483152">
        <w:rPr>
          <w:b/>
          <w:sz w:val="14"/>
          <w:szCs w:val="22"/>
        </w:rPr>
        <w:t xml:space="preserve"> </w:t>
      </w:r>
      <w:r w:rsidR="008C1530" w:rsidRPr="00483152">
        <w:rPr>
          <w:b/>
          <w:sz w:val="21"/>
          <w:szCs w:val="21"/>
        </w:rPr>
        <w:t>Преимущества предлагаемо</w:t>
      </w:r>
      <w:r w:rsidR="0098338C" w:rsidRPr="00483152">
        <w:rPr>
          <w:b/>
          <w:sz w:val="21"/>
          <w:szCs w:val="21"/>
        </w:rPr>
        <w:t>й</w:t>
      </w:r>
      <w:r w:rsidR="008C1530" w:rsidRPr="00483152">
        <w:rPr>
          <w:b/>
          <w:sz w:val="21"/>
          <w:szCs w:val="21"/>
        </w:rPr>
        <w:t xml:space="preserve"> программ</w:t>
      </w:r>
      <w:r w:rsidR="0098338C" w:rsidRPr="00483152">
        <w:rPr>
          <w:b/>
          <w:sz w:val="21"/>
          <w:szCs w:val="21"/>
        </w:rPr>
        <w:t>ы</w:t>
      </w:r>
      <w:r w:rsidR="009E303F" w:rsidRPr="00483152">
        <w:rPr>
          <w:b/>
          <w:sz w:val="21"/>
          <w:szCs w:val="21"/>
        </w:rPr>
        <w:t xml:space="preserve">: </w:t>
      </w:r>
    </w:p>
    <w:p w:rsidR="00E45494" w:rsidRPr="00483152" w:rsidRDefault="00CB2342" w:rsidP="00A76945">
      <w:pPr>
        <w:pStyle w:val="a4"/>
        <w:numPr>
          <w:ilvl w:val="0"/>
          <w:numId w:val="2"/>
        </w:numPr>
        <w:spacing w:before="60" w:line="0" w:lineRule="atLeast"/>
        <w:jc w:val="both"/>
        <w:rPr>
          <w:sz w:val="21"/>
          <w:szCs w:val="21"/>
        </w:rPr>
      </w:pPr>
      <w:r w:rsidRPr="00483152">
        <w:rPr>
          <w:sz w:val="21"/>
          <w:szCs w:val="21"/>
        </w:rPr>
        <w:t>реализация программы на платформе профильного регионального опорного вуза;</w:t>
      </w:r>
    </w:p>
    <w:p w:rsidR="00CB2342" w:rsidRPr="00483152" w:rsidRDefault="00CB2342" w:rsidP="00A76945">
      <w:pPr>
        <w:pStyle w:val="a4"/>
        <w:numPr>
          <w:ilvl w:val="0"/>
          <w:numId w:val="2"/>
        </w:numPr>
        <w:spacing w:before="60" w:line="0" w:lineRule="atLeast"/>
        <w:jc w:val="both"/>
        <w:rPr>
          <w:sz w:val="21"/>
          <w:szCs w:val="21"/>
        </w:rPr>
      </w:pPr>
      <w:r w:rsidRPr="00483152">
        <w:rPr>
          <w:sz w:val="21"/>
          <w:szCs w:val="21"/>
        </w:rPr>
        <w:t>преподаватели – практикующие судебные эксперты;</w:t>
      </w:r>
    </w:p>
    <w:p w:rsidR="00CB2342" w:rsidRPr="00483152" w:rsidRDefault="00CB2342" w:rsidP="00A76945">
      <w:pPr>
        <w:pStyle w:val="a4"/>
        <w:numPr>
          <w:ilvl w:val="0"/>
          <w:numId w:val="2"/>
        </w:numPr>
        <w:spacing w:before="60" w:line="0" w:lineRule="atLeast"/>
        <w:jc w:val="both"/>
        <w:rPr>
          <w:sz w:val="21"/>
          <w:szCs w:val="21"/>
        </w:rPr>
      </w:pPr>
      <w:r w:rsidRPr="00483152">
        <w:rPr>
          <w:sz w:val="21"/>
          <w:szCs w:val="21"/>
        </w:rPr>
        <w:t>собственная лаборатория при кафедре</w:t>
      </w:r>
      <w:r w:rsidR="00BB3E62" w:rsidRPr="00483152">
        <w:rPr>
          <w:sz w:val="21"/>
          <w:szCs w:val="21"/>
        </w:rPr>
        <w:t xml:space="preserve"> (для учебных занятий и последующей профессиональной практики)</w:t>
      </w:r>
      <w:r w:rsidR="00774A3F" w:rsidRPr="00483152">
        <w:rPr>
          <w:sz w:val="21"/>
          <w:szCs w:val="21"/>
        </w:rPr>
        <w:t>;</w:t>
      </w:r>
    </w:p>
    <w:p w:rsidR="00CA3FCB" w:rsidRPr="007913E7" w:rsidRDefault="00CA3FCB" w:rsidP="00CA3FCB">
      <w:pPr>
        <w:pStyle w:val="a4"/>
        <w:numPr>
          <w:ilvl w:val="0"/>
          <w:numId w:val="2"/>
        </w:numPr>
        <w:spacing w:before="60" w:line="0" w:lineRule="atLeast"/>
        <w:jc w:val="both"/>
        <w:rPr>
          <w:sz w:val="21"/>
          <w:szCs w:val="21"/>
        </w:rPr>
      </w:pPr>
      <w:r w:rsidRPr="007913E7">
        <w:rPr>
          <w:sz w:val="21"/>
          <w:szCs w:val="21"/>
        </w:rPr>
        <w:t>продвижение информации о выпускниках в профильных структурах, привлекающих экспертов к судебным исследованиям.</w:t>
      </w:r>
    </w:p>
    <w:p w:rsidR="00483152" w:rsidRPr="00483152" w:rsidRDefault="00CA7F8D" w:rsidP="00483152">
      <w:pPr>
        <w:spacing w:before="60" w:after="60"/>
        <w:ind w:left="-1134" w:right="113"/>
        <w:jc w:val="both"/>
        <w:rPr>
          <w:b/>
          <w:sz w:val="21"/>
          <w:szCs w:val="21"/>
        </w:rPr>
      </w:pPr>
      <w:r w:rsidRPr="00483152">
        <w:rPr>
          <w:sz w:val="21"/>
          <w:szCs w:val="21"/>
        </w:rPr>
        <w:t xml:space="preserve">По окончании обучения слушателям выдается </w:t>
      </w:r>
      <w:r w:rsidRPr="00483152">
        <w:rPr>
          <w:b/>
          <w:sz w:val="21"/>
          <w:szCs w:val="21"/>
        </w:rPr>
        <w:t xml:space="preserve">ДИПЛОМ о профессиональной переподготовке </w:t>
      </w:r>
      <w:r w:rsidRPr="00483152">
        <w:rPr>
          <w:sz w:val="21"/>
          <w:szCs w:val="21"/>
        </w:rPr>
        <w:t>установленного образца – документ, подтверждающий профессиональную компетенцию эксперта в судебных инстанциях</w:t>
      </w:r>
      <w:r w:rsidRPr="00483152">
        <w:rPr>
          <w:b/>
          <w:sz w:val="21"/>
          <w:szCs w:val="21"/>
        </w:rPr>
        <w:t xml:space="preserve"> </w:t>
      </w:r>
    </w:p>
    <w:p w:rsidR="00A41D66" w:rsidRPr="00483152" w:rsidRDefault="00A41D66" w:rsidP="00A41D66">
      <w:pPr>
        <w:spacing w:line="0" w:lineRule="atLeast"/>
        <w:ind w:left="-1134" w:right="-284"/>
        <w:rPr>
          <w:b/>
          <w:sz w:val="10"/>
          <w:szCs w:val="20"/>
        </w:rPr>
      </w:pPr>
      <w:r w:rsidRPr="00483152">
        <w:rPr>
          <w:b/>
          <w:sz w:val="10"/>
          <w:szCs w:val="20"/>
        </w:rPr>
        <w:t>_____________________________________________________________________________________________________________________</w:t>
      </w:r>
      <w:r w:rsidR="0013311D" w:rsidRPr="00483152">
        <w:rPr>
          <w:b/>
          <w:sz w:val="10"/>
          <w:szCs w:val="20"/>
        </w:rPr>
        <w:t>___________________________________</w:t>
      </w:r>
      <w:r w:rsidR="00483152">
        <w:rPr>
          <w:b/>
          <w:sz w:val="10"/>
          <w:szCs w:val="20"/>
        </w:rPr>
        <w:t>________________________________________</w:t>
      </w:r>
      <w:r w:rsidR="0013311D" w:rsidRPr="00483152">
        <w:rPr>
          <w:b/>
          <w:sz w:val="10"/>
          <w:szCs w:val="20"/>
        </w:rPr>
        <w:t>___________________</w:t>
      </w:r>
      <w:r w:rsidRPr="00483152">
        <w:rPr>
          <w:b/>
          <w:sz w:val="10"/>
          <w:szCs w:val="20"/>
        </w:rPr>
        <w:t>___</w:t>
      </w:r>
    </w:p>
    <w:p w:rsidR="00A41D66" w:rsidRPr="00483152" w:rsidRDefault="00A41D66" w:rsidP="00A41D66">
      <w:pPr>
        <w:ind w:left="5040"/>
        <w:jc w:val="right"/>
        <w:rPr>
          <w:b/>
          <w:sz w:val="18"/>
          <w:szCs w:val="18"/>
        </w:rPr>
      </w:pPr>
      <w:r w:rsidRPr="00483152">
        <w:rPr>
          <w:b/>
          <w:sz w:val="18"/>
          <w:szCs w:val="18"/>
        </w:rPr>
        <w:t>Контактная информация:</w:t>
      </w:r>
    </w:p>
    <w:p w:rsidR="00A41D66" w:rsidRPr="00CA3FCB" w:rsidRDefault="00A41D66" w:rsidP="00A41D66">
      <w:pPr>
        <w:jc w:val="right"/>
        <w:rPr>
          <w:sz w:val="20"/>
          <w:szCs w:val="18"/>
        </w:rPr>
      </w:pPr>
      <w:r w:rsidRPr="00483152">
        <w:rPr>
          <w:b/>
          <w:sz w:val="20"/>
          <w:szCs w:val="18"/>
        </w:rPr>
        <w:t xml:space="preserve"> </w:t>
      </w:r>
      <w:r w:rsidRPr="00CA3FCB">
        <w:rPr>
          <w:sz w:val="20"/>
          <w:szCs w:val="18"/>
        </w:rPr>
        <w:t xml:space="preserve">(846) 337-02-05, </w:t>
      </w:r>
      <w:r w:rsidRPr="00483152">
        <w:rPr>
          <w:b/>
          <w:sz w:val="20"/>
          <w:szCs w:val="18"/>
          <w:lang w:val="en-US"/>
        </w:rPr>
        <w:t>e</w:t>
      </w:r>
      <w:r w:rsidRPr="00CA3FCB">
        <w:rPr>
          <w:b/>
          <w:sz w:val="20"/>
          <w:szCs w:val="18"/>
        </w:rPr>
        <w:t>-</w:t>
      </w:r>
      <w:r w:rsidRPr="00483152">
        <w:rPr>
          <w:b/>
          <w:sz w:val="20"/>
          <w:szCs w:val="18"/>
          <w:lang w:val="en-US"/>
        </w:rPr>
        <w:t>mail</w:t>
      </w:r>
      <w:r w:rsidRPr="00CA3FCB">
        <w:rPr>
          <w:b/>
          <w:sz w:val="20"/>
          <w:szCs w:val="18"/>
        </w:rPr>
        <w:t xml:space="preserve">: </w:t>
      </w:r>
      <w:hyperlink r:id="rId8" w:history="1">
        <w:r w:rsidRPr="00483152">
          <w:rPr>
            <w:rStyle w:val="a3"/>
            <w:sz w:val="20"/>
            <w:szCs w:val="18"/>
            <w:lang w:val="en-US"/>
          </w:rPr>
          <w:t>kafedra</w:t>
        </w:r>
        <w:r w:rsidRPr="00CA3FCB">
          <w:rPr>
            <w:rStyle w:val="a3"/>
            <w:sz w:val="20"/>
            <w:szCs w:val="18"/>
          </w:rPr>
          <w:t>_</w:t>
        </w:r>
        <w:r w:rsidRPr="00483152">
          <w:rPr>
            <w:rStyle w:val="a3"/>
            <w:sz w:val="20"/>
            <w:szCs w:val="18"/>
            <w:lang w:val="en-US"/>
          </w:rPr>
          <w:t>cen</w:t>
        </w:r>
        <w:r w:rsidRPr="00CA3FCB">
          <w:rPr>
            <w:rStyle w:val="a3"/>
            <w:sz w:val="20"/>
            <w:szCs w:val="18"/>
          </w:rPr>
          <w:t>@</w:t>
        </w:r>
        <w:r w:rsidRPr="00483152">
          <w:rPr>
            <w:rStyle w:val="a3"/>
            <w:sz w:val="20"/>
            <w:szCs w:val="18"/>
            <w:lang w:val="en-US"/>
          </w:rPr>
          <w:t>mail</w:t>
        </w:r>
        <w:r w:rsidRPr="00CA3FCB">
          <w:rPr>
            <w:rStyle w:val="a3"/>
            <w:sz w:val="20"/>
            <w:szCs w:val="18"/>
          </w:rPr>
          <w:t>.</w:t>
        </w:r>
        <w:r w:rsidRPr="00483152">
          <w:rPr>
            <w:rStyle w:val="a3"/>
            <w:sz w:val="20"/>
            <w:szCs w:val="18"/>
            <w:lang w:val="en-US"/>
          </w:rPr>
          <w:t>ru</w:t>
        </w:r>
      </w:hyperlink>
    </w:p>
    <w:sectPr w:rsidR="00A41D66" w:rsidRPr="00CA3FCB" w:rsidSect="00CA3FCB">
      <w:pgSz w:w="11907" w:h="16839" w:code="9"/>
      <w:pgMar w:top="568" w:right="566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54EAD"/>
    <w:multiLevelType w:val="hybridMultilevel"/>
    <w:tmpl w:val="F33CC970"/>
    <w:lvl w:ilvl="0" w:tplc="005ADBC8">
      <w:start w:val="1"/>
      <w:numFmt w:val="bullet"/>
      <w:lvlText w:val="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A93841"/>
    <w:multiLevelType w:val="hybridMultilevel"/>
    <w:tmpl w:val="6B6A28A6"/>
    <w:lvl w:ilvl="0" w:tplc="F47AA70E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796"/>
    <w:rsid w:val="00005998"/>
    <w:rsid w:val="00041485"/>
    <w:rsid w:val="00053561"/>
    <w:rsid w:val="00060C71"/>
    <w:rsid w:val="00082BD6"/>
    <w:rsid w:val="00087DF4"/>
    <w:rsid w:val="000B19A4"/>
    <w:rsid w:val="000C779A"/>
    <w:rsid w:val="000E5882"/>
    <w:rsid w:val="00123317"/>
    <w:rsid w:val="0013069C"/>
    <w:rsid w:val="0013311D"/>
    <w:rsid w:val="00136AF9"/>
    <w:rsid w:val="00167E13"/>
    <w:rsid w:val="00180D01"/>
    <w:rsid w:val="00185C7D"/>
    <w:rsid w:val="001917EA"/>
    <w:rsid w:val="001E1984"/>
    <w:rsid w:val="001E2171"/>
    <w:rsid w:val="00202351"/>
    <w:rsid w:val="00236F3D"/>
    <w:rsid w:val="002408C5"/>
    <w:rsid w:val="00243C67"/>
    <w:rsid w:val="00244633"/>
    <w:rsid w:val="00270D21"/>
    <w:rsid w:val="0027350B"/>
    <w:rsid w:val="00277037"/>
    <w:rsid w:val="00285632"/>
    <w:rsid w:val="002916BA"/>
    <w:rsid w:val="002944B2"/>
    <w:rsid w:val="00296532"/>
    <w:rsid w:val="00296AF2"/>
    <w:rsid w:val="002B1697"/>
    <w:rsid w:val="002E18A6"/>
    <w:rsid w:val="002E5024"/>
    <w:rsid w:val="00337F8A"/>
    <w:rsid w:val="0034032B"/>
    <w:rsid w:val="0035170C"/>
    <w:rsid w:val="003673E7"/>
    <w:rsid w:val="00383383"/>
    <w:rsid w:val="003A1F19"/>
    <w:rsid w:val="003B334D"/>
    <w:rsid w:val="003B6CCE"/>
    <w:rsid w:val="003C5870"/>
    <w:rsid w:val="003E57F9"/>
    <w:rsid w:val="00402B33"/>
    <w:rsid w:val="0045601D"/>
    <w:rsid w:val="0047714D"/>
    <w:rsid w:val="00481F8D"/>
    <w:rsid w:val="00483152"/>
    <w:rsid w:val="00486B80"/>
    <w:rsid w:val="004914EE"/>
    <w:rsid w:val="004974FA"/>
    <w:rsid w:val="004C26FA"/>
    <w:rsid w:val="004D54A1"/>
    <w:rsid w:val="004D6ED2"/>
    <w:rsid w:val="005573B9"/>
    <w:rsid w:val="005625BD"/>
    <w:rsid w:val="00570034"/>
    <w:rsid w:val="0057095B"/>
    <w:rsid w:val="00577317"/>
    <w:rsid w:val="00585158"/>
    <w:rsid w:val="005B6557"/>
    <w:rsid w:val="005D0CC9"/>
    <w:rsid w:val="00602971"/>
    <w:rsid w:val="006303CB"/>
    <w:rsid w:val="00635225"/>
    <w:rsid w:val="0063637E"/>
    <w:rsid w:val="00662575"/>
    <w:rsid w:val="00672CAC"/>
    <w:rsid w:val="00673E8B"/>
    <w:rsid w:val="006802B4"/>
    <w:rsid w:val="00683D58"/>
    <w:rsid w:val="006A48F4"/>
    <w:rsid w:val="006B4384"/>
    <w:rsid w:val="006C345C"/>
    <w:rsid w:val="006D7A3E"/>
    <w:rsid w:val="006E696B"/>
    <w:rsid w:val="006F3F60"/>
    <w:rsid w:val="00701EF0"/>
    <w:rsid w:val="00737019"/>
    <w:rsid w:val="0073774F"/>
    <w:rsid w:val="00740F76"/>
    <w:rsid w:val="007448F8"/>
    <w:rsid w:val="00745176"/>
    <w:rsid w:val="00760B36"/>
    <w:rsid w:val="00774A3F"/>
    <w:rsid w:val="00776D6A"/>
    <w:rsid w:val="007827CD"/>
    <w:rsid w:val="007848FE"/>
    <w:rsid w:val="0078674B"/>
    <w:rsid w:val="00790DF4"/>
    <w:rsid w:val="00796434"/>
    <w:rsid w:val="0079738C"/>
    <w:rsid w:val="007A2333"/>
    <w:rsid w:val="007A6717"/>
    <w:rsid w:val="007B7A4B"/>
    <w:rsid w:val="007D5636"/>
    <w:rsid w:val="007E7D91"/>
    <w:rsid w:val="00804B26"/>
    <w:rsid w:val="00823F33"/>
    <w:rsid w:val="008449D9"/>
    <w:rsid w:val="00846410"/>
    <w:rsid w:val="008507EA"/>
    <w:rsid w:val="0085365B"/>
    <w:rsid w:val="00876C3B"/>
    <w:rsid w:val="008862B1"/>
    <w:rsid w:val="008A0E09"/>
    <w:rsid w:val="008B4C96"/>
    <w:rsid w:val="008C1530"/>
    <w:rsid w:val="008F150D"/>
    <w:rsid w:val="008F4A22"/>
    <w:rsid w:val="00905D85"/>
    <w:rsid w:val="00930B6E"/>
    <w:rsid w:val="00944F11"/>
    <w:rsid w:val="00960D5A"/>
    <w:rsid w:val="00963139"/>
    <w:rsid w:val="00975571"/>
    <w:rsid w:val="0098338C"/>
    <w:rsid w:val="009850A3"/>
    <w:rsid w:val="009A3F99"/>
    <w:rsid w:val="009E2AAF"/>
    <w:rsid w:val="009E303F"/>
    <w:rsid w:val="00A01632"/>
    <w:rsid w:val="00A30884"/>
    <w:rsid w:val="00A41D66"/>
    <w:rsid w:val="00A67BD4"/>
    <w:rsid w:val="00A74657"/>
    <w:rsid w:val="00A76945"/>
    <w:rsid w:val="00A97F1D"/>
    <w:rsid w:val="00AA4D0D"/>
    <w:rsid w:val="00AC1106"/>
    <w:rsid w:val="00AC2A41"/>
    <w:rsid w:val="00AF3954"/>
    <w:rsid w:val="00B26FE1"/>
    <w:rsid w:val="00B30716"/>
    <w:rsid w:val="00B35AB6"/>
    <w:rsid w:val="00B61BDD"/>
    <w:rsid w:val="00B65508"/>
    <w:rsid w:val="00B76CA0"/>
    <w:rsid w:val="00B80F11"/>
    <w:rsid w:val="00B83C9A"/>
    <w:rsid w:val="00B87066"/>
    <w:rsid w:val="00B968B7"/>
    <w:rsid w:val="00B97796"/>
    <w:rsid w:val="00BA6822"/>
    <w:rsid w:val="00BB3E62"/>
    <w:rsid w:val="00BC49E7"/>
    <w:rsid w:val="00BC63EA"/>
    <w:rsid w:val="00BD03AA"/>
    <w:rsid w:val="00BD51E1"/>
    <w:rsid w:val="00C0033C"/>
    <w:rsid w:val="00C00E4F"/>
    <w:rsid w:val="00C35F83"/>
    <w:rsid w:val="00C4411B"/>
    <w:rsid w:val="00C4588E"/>
    <w:rsid w:val="00C948D4"/>
    <w:rsid w:val="00CA3FCB"/>
    <w:rsid w:val="00CA7F8D"/>
    <w:rsid w:val="00CB2342"/>
    <w:rsid w:val="00CB67DC"/>
    <w:rsid w:val="00CB7234"/>
    <w:rsid w:val="00D22B38"/>
    <w:rsid w:val="00D33120"/>
    <w:rsid w:val="00D37E86"/>
    <w:rsid w:val="00D52B06"/>
    <w:rsid w:val="00D5489E"/>
    <w:rsid w:val="00D60A21"/>
    <w:rsid w:val="00D76B08"/>
    <w:rsid w:val="00D95584"/>
    <w:rsid w:val="00DA0CEB"/>
    <w:rsid w:val="00DB0B83"/>
    <w:rsid w:val="00DD667C"/>
    <w:rsid w:val="00DE0B64"/>
    <w:rsid w:val="00E0325D"/>
    <w:rsid w:val="00E15512"/>
    <w:rsid w:val="00E45494"/>
    <w:rsid w:val="00E74A76"/>
    <w:rsid w:val="00E87763"/>
    <w:rsid w:val="00E91D4D"/>
    <w:rsid w:val="00EC0E20"/>
    <w:rsid w:val="00ED1563"/>
    <w:rsid w:val="00ED3FF0"/>
    <w:rsid w:val="00EE4688"/>
    <w:rsid w:val="00EE5958"/>
    <w:rsid w:val="00EF4AC2"/>
    <w:rsid w:val="00F2672E"/>
    <w:rsid w:val="00F5563B"/>
    <w:rsid w:val="00F67F3E"/>
    <w:rsid w:val="00FB01B4"/>
    <w:rsid w:val="00FB48AC"/>
    <w:rsid w:val="00FB4FB2"/>
    <w:rsid w:val="00FD19AB"/>
    <w:rsid w:val="00FD5E69"/>
    <w:rsid w:val="00FD5F4C"/>
    <w:rsid w:val="00FE5D8A"/>
    <w:rsid w:val="00FE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723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40F7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C1530"/>
    <w:pPr>
      <w:ind w:left="720"/>
      <w:contextualSpacing/>
    </w:pPr>
  </w:style>
  <w:style w:type="character" w:styleId="a5">
    <w:name w:val="annotation reference"/>
    <w:basedOn w:val="a0"/>
    <w:rsid w:val="0063637E"/>
    <w:rPr>
      <w:sz w:val="16"/>
      <w:szCs w:val="16"/>
    </w:rPr>
  </w:style>
  <w:style w:type="paragraph" w:styleId="a6">
    <w:name w:val="annotation text"/>
    <w:basedOn w:val="a"/>
    <w:link w:val="a7"/>
    <w:rsid w:val="0063637E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63637E"/>
  </w:style>
  <w:style w:type="paragraph" w:styleId="a8">
    <w:name w:val="annotation subject"/>
    <w:basedOn w:val="a6"/>
    <w:next w:val="a6"/>
    <w:link w:val="a9"/>
    <w:rsid w:val="0063637E"/>
    <w:rPr>
      <w:b/>
      <w:bCs/>
    </w:rPr>
  </w:style>
  <w:style w:type="character" w:customStyle="1" w:styleId="a9">
    <w:name w:val="Тема примечания Знак"/>
    <w:basedOn w:val="a7"/>
    <w:link w:val="a8"/>
    <w:rsid w:val="0063637E"/>
    <w:rPr>
      <w:b/>
      <w:bCs/>
    </w:rPr>
  </w:style>
  <w:style w:type="paragraph" w:styleId="aa">
    <w:name w:val="Balloon Text"/>
    <w:basedOn w:val="a"/>
    <w:link w:val="ab"/>
    <w:rsid w:val="0063637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63637E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7448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723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40F7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C1530"/>
    <w:pPr>
      <w:ind w:left="720"/>
      <w:contextualSpacing/>
    </w:pPr>
  </w:style>
  <w:style w:type="character" w:styleId="a5">
    <w:name w:val="annotation reference"/>
    <w:basedOn w:val="a0"/>
    <w:rsid w:val="0063637E"/>
    <w:rPr>
      <w:sz w:val="16"/>
      <w:szCs w:val="16"/>
    </w:rPr>
  </w:style>
  <w:style w:type="paragraph" w:styleId="a6">
    <w:name w:val="annotation text"/>
    <w:basedOn w:val="a"/>
    <w:link w:val="a7"/>
    <w:rsid w:val="0063637E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63637E"/>
  </w:style>
  <w:style w:type="paragraph" w:styleId="a8">
    <w:name w:val="annotation subject"/>
    <w:basedOn w:val="a6"/>
    <w:next w:val="a6"/>
    <w:link w:val="a9"/>
    <w:rsid w:val="0063637E"/>
    <w:rPr>
      <w:b/>
      <w:bCs/>
    </w:rPr>
  </w:style>
  <w:style w:type="character" w:customStyle="1" w:styleId="a9">
    <w:name w:val="Тема примечания Знак"/>
    <w:basedOn w:val="a7"/>
    <w:link w:val="a8"/>
    <w:rsid w:val="0063637E"/>
    <w:rPr>
      <w:b/>
      <w:bCs/>
    </w:rPr>
  </w:style>
  <w:style w:type="paragraph" w:styleId="aa">
    <w:name w:val="Balloon Text"/>
    <w:basedOn w:val="a"/>
    <w:link w:val="ab"/>
    <w:rsid w:val="0063637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63637E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7448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fedra_cen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5CC473-F736-483F-B981-E05FE8272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3093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Кафедра стоимостного инжиниринга</vt:lpstr>
    </vt:vector>
  </TitlesOfParts>
  <Company>_</Company>
  <LinksUpToDate>false</LinksUpToDate>
  <CharactersWithSpaces>3440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Кафедра стоимостного инжиниринга</dc:title>
  <dc:creator>Ryabinina</dc:creator>
  <cp:lastModifiedBy>Сапегина</cp:lastModifiedBy>
  <cp:revision>2</cp:revision>
  <cp:lastPrinted>2018-01-31T06:14:00Z</cp:lastPrinted>
  <dcterms:created xsi:type="dcterms:W3CDTF">2019-11-11T13:29:00Z</dcterms:created>
  <dcterms:modified xsi:type="dcterms:W3CDTF">2019-11-11T13:29:00Z</dcterms:modified>
</cp:coreProperties>
</file>